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770"/>
        <w:gridCol w:w="6411"/>
        <w:gridCol w:w="1133"/>
      </w:tblGrid>
      <w:tr w:rsidR="00C028FD" w:rsidRPr="00F92924" w14:paraId="0E946746" w14:textId="77777777" w:rsidTr="00C028FD">
        <w:trPr>
          <w:jc w:val="center"/>
        </w:trPr>
        <w:tc>
          <w:tcPr>
            <w:tcW w:w="977" w:type="dxa"/>
            <w:vMerge w:val="restart"/>
            <w:shd w:val="clear" w:color="auto" w:fill="8DB3E2"/>
            <w:vAlign w:val="center"/>
          </w:tcPr>
          <w:p w14:paraId="33FB58D1" w14:textId="5C921C90" w:rsidR="00C028FD" w:rsidRPr="00F92924" w:rsidRDefault="00C028FD" w:rsidP="00C028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1F060F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shd w:val="clear" w:color="auto" w:fill="8DB3E2"/>
            <w:vAlign w:val="center"/>
          </w:tcPr>
          <w:p w14:paraId="4C8B13A8" w14:textId="77777777" w:rsidR="00C028FD" w:rsidRPr="00F92924" w:rsidRDefault="00C028FD" w:rsidP="00507BD0">
            <w:pPr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Study Title</w:t>
            </w:r>
          </w:p>
        </w:tc>
        <w:tc>
          <w:tcPr>
            <w:tcW w:w="7544" w:type="dxa"/>
            <w:gridSpan w:val="2"/>
            <w:vAlign w:val="center"/>
          </w:tcPr>
          <w:p w14:paraId="0E7DE3AF" w14:textId="70FE50F9" w:rsidR="00C028FD" w:rsidRPr="00F92924" w:rsidRDefault="001267A8" w:rsidP="00A27A4E">
            <w:pPr>
              <w:rPr>
                <w:rFonts w:ascii="Calibri" w:hAnsi="Calibri" w:cs="Calibri"/>
                <w:sz w:val="22"/>
                <w:szCs w:val="22"/>
              </w:rPr>
            </w:pPr>
            <w:r w:rsidRPr="001267A8">
              <w:rPr>
                <w:rFonts w:ascii="Calibri" w:hAnsi="Calibri" w:cs="Calibri"/>
                <w:sz w:val="22"/>
                <w:szCs w:val="22"/>
              </w:rPr>
              <w:t>Optimizing the clinical effectiveness of TBS treatment of depression (OPTI-TBS)</w:t>
            </w:r>
          </w:p>
        </w:tc>
      </w:tr>
      <w:tr w:rsidR="00C028FD" w:rsidRPr="00F92924" w14:paraId="18DF652E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6E4AB2D5" w14:textId="77777777" w:rsidR="00C028FD" w:rsidRPr="00F92924" w:rsidRDefault="00C028FD" w:rsidP="00B21D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42BB7D61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PI</w:t>
            </w:r>
          </w:p>
        </w:tc>
        <w:tc>
          <w:tcPr>
            <w:tcW w:w="7544" w:type="dxa"/>
            <w:gridSpan w:val="2"/>
            <w:vAlign w:val="center"/>
          </w:tcPr>
          <w:p w14:paraId="2DC5D093" w14:textId="38280347" w:rsidR="00C028FD" w:rsidRPr="00F92924" w:rsidRDefault="00A27A4E" w:rsidP="00B21D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 Fitzgerald</w:t>
            </w:r>
          </w:p>
        </w:tc>
      </w:tr>
      <w:tr w:rsidR="00C028FD" w:rsidRPr="00F92924" w14:paraId="40E841E8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4D395E04" w14:textId="77777777" w:rsidR="00C028FD" w:rsidRPr="00F92924" w:rsidRDefault="00C028FD" w:rsidP="00B21D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2CD8A429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Ref</w:t>
            </w:r>
          </w:p>
        </w:tc>
        <w:tc>
          <w:tcPr>
            <w:tcW w:w="7544" w:type="dxa"/>
            <w:gridSpan w:val="2"/>
            <w:vAlign w:val="center"/>
          </w:tcPr>
          <w:p w14:paraId="0E1E712B" w14:textId="03F4FDD1" w:rsidR="00C028FD" w:rsidRPr="00F92924" w:rsidRDefault="001267A8" w:rsidP="00B21D27">
            <w:pPr>
              <w:rPr>
                <w:rFonts w:ascii="Calibri" w:hAnsi="Calibri" w:cs="Calibri"/>
                <w:sz w:val="22"/>
                <w:szCs w:val="22"/>
              </w:rPr>
            </w:pPr>
            <w:r w:rsidRPr="001267A8">
              <w:rPr>
                <w:rFonts w:ascii="Calibri" w:hAnsi="Calibri" w:cs="Calibri"/>
                <w:sz w:val="22"/>
                <w:szCs w:val="22"/>
              </w:rPr>
              <w:t>2022.ETH.00182</w:t>
            </w:r>
          </w:p>
        </w:tc>
      </w:tr>
      <w:tr w:rsidR="00C028FD" w:rsidRPr="00F92924" w14:paraId="283EC70B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29353F78" w14:textId="77777777" w:rsidR="00C028FD" w:rsidRPr="00F92924" w:rsidRDefault="00C028FD" w:rsidP="00B815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7AD09E6E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Reviewer</w:t>
            </w:r>
          </w:p>
        </w:tc>
        <w:tc>
          <w:tcPr>
            <w:tcW w:w="7544" w:type="dxa"/>
            <w:gridSpan w:val="2"/>
            <w:vAlign w:val="center"/>
          </w:tcPr>
          <w:p w14:paraId="305AD8E0" w14:textId="4BE5B10D" w:rsidR="00C028FD" w:rsidRPr="00FA19B8" w:rsidRDefault="00A27A4E" w:rsidP="00FF585F">
            <w:p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FA19B8">
              <w:rPr>
                <w:rFonts w:ascii="Calibri" w:hAnsi="Calibri" w:cs="Calibri"/>
                <w:sz w:val="22"/>
                <w:szCs w:val="22"/>
              </w:rPr>
              <w:t>Robert Schmidli</w:t>
            </w:r>
          </w:p>
        </w:tc>
      </w:tr>
      <w:tr w:rsidR="00C028FD" w:rsidRPr="00F92924" w14:paraId="7E92072A" w14:textId="77777777" w:rsidTr="008E7106">
        <w:trPr>
          <w:jc w:val="center"/>
        </w:trPr>
        <w:tc>
          <w:tcPr>
            <w:tcW w:w="10291" w:type="dxa"/>
            <w:gridSpan w:val="4"/>
            <w:shd w:val="clear" w:color="auto" w:fill="auto"/>
            <w:vAlign w:val="center"/>
          </w:tcPr>
          <w:p w14:paraId="0B66B748" w14:textId="77777777" w:rsidR="00C028FD" w:rsidRPr="00F92924" w:rsidRDefault="00C028FD" w:rsidP="00B81547">
            <w:pPr>
              <w:spacing w:before="60" w:after="60"/>
              <w:ind w:left="567" w:hanging="567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What is your recommendation for this item?</w:t>
            </w:r>
          </w:p>
        </w:tc>
      </w:tr>
      <w:tr w:rsidR="00C028FD" w:rsidRPr="00F92924" w14:paraId="373A9CDC" w14:textId="77777777" w:rsidTr="008E7106">
        <w:trPr>
          <w:jc w:val="center"/>
        </w:trPr>
        <w:tc>
          <w:tcPr>
            <w:tcW w:w="10291" w:type="dxa"/>
            <w:gridSpan w:val="4"/>
            <w:shd w:val="clear" w:color="auto" w:fill="auto"/>
            <w:vAlign w:val="center"/>
          </w:tcPr>
          <w:p w14:paraId="458D22EE" w14:textId="77777777" w:rsidR="00C028FD" w:rsidRDefault="00C028FD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92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92924">
              <w:rPr>
                <w:rFonts w:ascii="Calibri" w:hAnsi="Calibri" w:cs="Calibri"/>
                <w:sz w:val="22"/>
                <w:szCs w:val="22"/>
              </w:rPr>
              <w:t xml:space="preserve">Approve without changes </w:t>
            </w:r>
            <w:r w:rsidR="00A0566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A056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0566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F92924">
              <w:rPr>
                <w:rFonts w:ascii="Calibri" w:hAnsi="Calibri" w:cs="Calibri"/>
                <w:sz w:val="22"/>
                <w:szCs w:val="22"/>
              </w:rPr>
              <w:t xml:space="preserve">Approve out of session with changes </w:t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92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92924">
              <w:rPr>
                <w:rFonts w:ascii="Calibri" w:hAnsi="Calibri" w:cs="Calibri"/>
                <w:sz w:val="22"/>
                <w:szCs w:val="22"/>
              </w:rPr>
              <w:t>Not Approve and resubmit</w:t>
            </w:r>
          </w:p>
          <w:p w14:paraId="3160B1ED" w14:textId="647B22D0" w:rsidR="00A27A4E" w:rsidRDefault="0012338E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Can sufficient subjects</w:t>
            </w:r>
            <w:r w:rsidR="00A27A4E"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 xml:space="preserve"> be recruited, given that the protocol is onerous for the subjects, and there is a similar large study to be run concurrently?</w:t>
            </w:r>
          </w:p>
          <w:p w14:paraId="4548D7F6" w14:textId="77777777" w:rsidR="00A27A4E" w:rsidRDefault="00A27A4E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PICF needs to be completed. Introduction section on credentials of investigators should be shortened.</w:t>
            </w:r>
          </w:p>
          <w:p w14:paraId="79481A32" w14:textId="77777777" w:rsidR="00A27A4E" w:rsidRDefault="00A27A4E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Measurement of outcomes uses many questionnaires and scores. Does the statistical analysis allow for sufficient correction for multiple analyses?</w:t>
            </w:r>
          </w:p>
          <w:p w14:paraId="4329D76F" w14:textId="3840E74D" w:rsidR="00FA19B8" w:rsidRPr="00F92924" w:rsidRDefault="00FA19B8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Will qualified staff be present in the event of a seizure?</w:t>
            </w:r>
          </w:p>
        </w:tc>
      </w:tr>
      <w:tr w:rsidR="00C028FD" w:rsidRPr="00F92924" w14:paraId="4BACAE8A" w14:textId="77777777" w:rsidTr="00B26B2C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5EA06E19" w14:textId="77777777" w:rsidR="00C028FD" w:rsidRPr="00F92924" w:rsidRDefault="00C028FD" w:rsidP="00B21D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Review </w:t>
            </w:r>
          </w:p>
        </w:tc>
      </w:tr>
      <w:tr w:rsidR="00C028FD" w:rsidRPr="00F92924" w14:paraId="2BFB8E08" w14:textId="77777777" w:rsidTr="00B26B2C">
        <w:trPr>
          <w:jc w:val="center"/>
        </w:trPr>
        <w:tc>
          <w:tcPr>
            <w:tcW w:w="10291" w:type="dxa"/>
            <w:gridSpan w:val="4"/>
            <w:shd w:val="clear" w:color="auto" w:fill="8DB3E2"/>
            <w:vAlign w:val="center"/>
          </w:tcPr>
          <w:p w14:paraId="3AB0CED5" w14:textId="77777777" w:rsidR="00C028FD" w:rsidRPr="00F92924" w:rsidRDefault="00C028FD" w:rsidP="00B8154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Research Merit and Integrity (NS1.1):</w:t>
            </w:r>
          </w:p>
        </w:tc>
      </w:tr>
      <w:tr w:rsidR="00C028FD" w:rsidRPr="00F92924" w14:paraId="0E0BE016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6C849BC6" w14:textId="77777777" w:rsidR="00C028FD" w:rsidRPr="00F92924" w:rsidRDefault="00C028FD" w:rsidP="00B81547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Does the research proposal ask a relevant/worthwhile research question? </w:t>
            </w:r>
          </w:p>
        </w:tc>
        <w:tc>
          <w:tcPr>
            <w:tcW w:w="1133" w:type="dxa"/>
            <w:vAlign w:val="center"/>
          </w:tcPr>
          <w:p w14:paraId="3658F716" w14:textId="77777777" w:rsidR="00C028FD" w:rsidRPr="00F92924" w:rsidRDefault="00C028FD" w:rsidP="00FF585F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  <w:r w:rsidR="00B70C14"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/</w:t>
            </w:r>
            <w:r w:rsidR="00B70C14"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3B503235" w14:textId="77777777" w:rsidTr="001D5EA1">
        <w:trPr>
          <w:jc w:val="center"/>
        </w:trPr>
        <w:tc>
          <w:tcPr>
            <w:tcW w:w="10291" w:type="dxa"/>
            <w:gridSpan w:val="4"/>
            <w:vAlign w:val="center"/>
          </w:tcPr>
          <w:p w14:paraId="78A05E57" w14:textId="26C29485" w:rsidR="00C028FD" w:rsidRPr="00F92924" w:rsidRDefault="00AC1B62" w:rsidP="004A0D0B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Study examines novel form of Transcranial magnetic stimulation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)– intermittent theta burst stimulation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). </w:t>
            </w:r>
            <w:proofErr w:type="spellStart"/>
            <w:r w:rsidR="00233AA0"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 w:rsidR="00233AA0">
              <w:rPr>
                <w:rFonts w:ascii="Calibri" w:hAnsi="Calibri" w:cs="Calibri"/>
                <w:sz w:val="22"/>
                <w:szCs w:val="22"/>
              </w:rPr>
              <w:t xml:space="preserve"> uses </w:t>
            </w:r>
            <w:r w:rsidR="00653BDF">
              <w:rPr>
                <w:rFonts w:ascii="Calibri" w:hAnsi="Calibri" w:cs="Calibri"/>
                <w:sz w:val="22"/>
                <w:szCs w:val="22"/>
              </w:rPr>
              <w:t xml:space="preserve">very short bursts at high frequency. Similar efficacy as </w:t>
            </w:r>
            <w:proofErr w:type="spellStart"/>
            <w:r w:rsidR="00653BDF"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 w:rsidR="00653BDF">
              <w:rPr>
                <w:rFonts w:ascii="Calibri" w:hAnsi="Calibri" w:cs="Calibri"/>
                <w:sz w:val="22"/>
                <w:szCs w:val="22"/>
              </w:rPr>
              <w:t xml:space="preserve">, but only takes 3 min, compared to 20-40min for </w:t>
            </w:r>
            <w:proofErr w:type="spellStart"/>
            <w:r w:rsidR="00653BDF"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 w:rsidR="00653BDF">
              <w:rPr>
                <w:rFonts w:ascii="Calibri" w:hAnsi="Calibri" w:cs="Calibri"/>
                <w:sz w:val="22"/>
                <w:szCs w:val="22"/>
              </w:rPr>
              <w:t xml:space="preserve">. Site of stimulation is also considered to be important. </w:t>
            </w:r>
            <w:r>
              <w:rPr>
                <w:rFonts w:ascii="Calibri" w:hAnsi="Calibri" w:cs="Calibri"/>
                <w:sz w:val="22"/>
                <w:szCs w:val="22"/>
              </w:rPr>
              <w:t>Examines optimal dose &amp; schedule and efficacy of dual site stimulation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. Proposed mode of action of </w:t>
            </w:r>
            <w:proofErr w:type="spellStart"/>
            <w:r w:rsidR="00A05663"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 w:rsidR="00A05663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A05663"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 w:rsidR="00A05663">
              <w:rPr>
                <w:rFonts w:ascii="Calibri" w:hAnsi="Calibri" w:cs="Calibri"/>
                <w:sz w:val="22"/>
                <w:szCs w:val="22"/>
              </w:rPr>
              <w:t xml:space="preserve"> is not explained in submission.</w:t>
            </w:r>
          </w:p>
        </w:tc>
      </w:tr>
      <w:tr w:rsidR="00B70C14" w:rsidRPr="00F92924" w14:paraId="17855306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0EA2E5D0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Has the researcher justified the need for this research?</w:t>
            </w:r>
            <w:r w:rsidRPr="00F92924"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1A5705C7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B70C14" w:rsidRPr="00F92924" w14:paraId="4ACF7004" w14:textId="77777777" w:rsidTr="001D5EA1">
        <w:trPr>
          <w:jc w:val="center"/>
        </w:trPr>
        <w:tc>
          <w:tcPr>
            <w:tcW w:w="10291" w:type="dxa"/>
            <w:gridSpan w:val="4"/>
            <w:vAlign w:val="center"/>
          </w:tcPr>
          <w:p w14:paraId="70CEDBB4" w14:textId="7752275C" w:rsidR="00B70C14" w:rsidRPr="00F92924" w:rsidRDefault="00AC1B62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established treatment but only 50% patients get substantial responses. </w:t>
            </w:r>
          </w:p>
        </w:tc>
      </w:tr>
      <w:tr w:rsidR="00B70C14" w:rsidRPr="00F92924" w14:paraId="58B94DF3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13092B63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Will the proposed methodology answer the research question(s)?  </w:t>
            </w:r>
          </w:p>
        </w:tc>
        <w:tc>
          <w:tcPr>
            <w:tcW w:w="1133" w:type="dxa"/>
            <w:vAlign w:val="center"/>
          </w:tcPr>
          <w:p w14:paraId="61D237F3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3AB827C8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7CE0BA1F" w14:textId="737F457F" w:rsidR="00C028FD" w:rsidRDefault="00AC1B62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Two studies. </w:t>
            </w:r>
            <w:r w:rsidR="00057C14">
              <w:rPr>
                <w:rFonts w:ascii="Calibri" w:hAnsi="Calibri" w:cs="Calibri"/>
                <w:sz w:val="22"/>
                <w:szCs w:val="22"/>
              </w:rPr>
              <w:t xml:space="preserve">No sham treated group – study groups are compared with standard treatment. </w:t>
            </w:r>
            <w:r>
              <w:rPr>
                <w:rFonts w:ascii="Calibri" w:hAnsi="Calibri" w:cs="Calibri"/>
                <w:sz w:val="22"/>
                <w:szCs w:val="22"/>
              </w:rPr>
              <w:t>All subjects receive 35 sessions, 5 days per week:</w:t>
            </w:r>
          </w:p>
          <w:p w14:paraId="5B5606E8" w14:textId="27A5AFE8" w:rsidR="00AC1B62" w:rsidRDefault="00AC1B62" w:rsidP="00057C14">
            <w:pPr>
              <w:numPr>
                <w:ilvl w:val="0"/>
                <w:numId w:val="17"/>
              </w:numPr>
              <w:spacing w:before="60" w:after="60"/>
              <w:ind w:left="231" w:hanging="2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Standard (3min</w:t>
            </w:r>
            <w:r w:rsidR="00B80B79">
              <w:rPr>
                <w:rFonts w:ascii="Calibri" w:hAnsi="Calibri" w:cs="Calibri"/>
                <w:sz w:val="22"/>
                <w:szCs w:val="22"/>
              </w:rPr>
              <w:t xml:space="preserve"> – has shown best efficacy</w:t>
            </w:r>
            <w:r>
              <w:rPr>
                <w:rFonts w:ascii="Calibri" w:hAnsi="Calibri" w:cs="Calibri"/>
                <w:sz w:val="22"/>
                <w:szCs w:val="22"/>
              </w:rPr>
              <w:t>) vs prolonged (9min) vs repeated (3x3min)</w:t>
            </w:r>
            <w:r w:rsidR="00653B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53BDF"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</w:p>
          <w:p w14:paraId="3C9FE94C" w14:textId="77777777" w:rsidR="00AC1B62" w:rsidRDefault="00AC1B62" w:rsidP="00057C14">
            <w:pPr>
              <w:numPr>
                <w:ilvl w:val="0"/>
                <w:numId w:val="17"/>
              </w:numPr>
              <w:spacing w:before="60" w:after="60"/>
              <w:ind w:left="231" w:hanging="2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 for Standard (above) – L dorsolateral prefrontal cortex vs additional stimulation at more posterior site vs </w:t>
            </w:r>
            <w:r w:rsidR="00057C14">
              <w:rPr>
                <w:rFonts w:ascii="Calibri" w:hAnsi="Calibri" w:cs="Calibri"/>
                <w:sz w:val="22"/>
                <w:szCs w:val="22"/>
              </w:rPr>
              <w:t>lateral prefrontal cortex</w:t>
            </w:r>
          </w:p>
          <w:p w14:paraId="4D5225E5" w14:textId="77777777" w:rsidR="00653BDF" w:rsidRDefault="00653BDF" w:rsidP="00653BDF">
            <w:pPr>
              <w:spacing w:before="60" w:after="60"/>
              <w:ind w:left="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 administering treatment will be aware of nature of treatment, but assessor will not</w:t>
            </w:r>
            <w:r w:rsidR="00B80B79">
              <w:rPr>
                <w:rFonts w:ascii="Calibri" w:hAnsi="Calibri" w:cs="Calibri"/>
                <w:sz w:val="22"/>
                <w:szCs w:val="22"/>
              </w:rPr>
              <w:t>. Assessment at baseline, 2wk, 4wk, end, 1, 3, 6 months. Subjects must be treatment-resistant with moderate-severe depression.</w:t>
            </w:r>
          </w:p>
          <w:p w14:paraId="57F059F6" w14:textId="0EA6FB56" w:rsidR="00B80B79" w:rsidRPr="00F92924" w:rsidRDefault="00B80B79" w:rsidP="00653BDF">
            <w:pPr>
              <w:spacing w:before="60" w:after="60"/>
              <w:ind w:left="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Study involves large number of subjects. Study </w:t>
            </w:r>
            <w:r w:rsidRPr="00B80B79">
              <w:rPr>
                <w:rFonts w:ascii="Calibri" w:hAnsi="Calibri" w:cs="Calibri"/>
                <w:sz w:val="22"/>
                <w:szCs w:val="22"/>
              </w:rPr>
              <w:t>2022.ETH.00181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involves similar numbers. Is it feasible to recruit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sufficient numbers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for the study?</w:t>
            </w:r>
            <w:r w:rsidR="00CA3331">
              <w:rPr>
                <w:rFonts w:ascii="Calibri" w:hAnsi="Calibri" w:cs="Calibri"/>
                <w:sz w:val="22"/>
                <w:szCs w:val="22"/>
              </w:rPr>
              <w:t xml:space="preserve"> Study protocol involves attendance for 5 days a week for six weeks</w:t>
            </w:r>
            <w:r w:rsidR="00A05663">
              <w:rPr>
                <w:rFonts w:ascii="Calibri" w:hAnsi="Calibri" w:cs="Calibri"/>
                <w:sz w:val="22"/>
                <w:szCs w:val="22"/>
              </w:rPr>
              <w:t>, plus follow-up assessments.</w:t>
            </w:r>
            <w:r w:rsidR="00CA3331">
              <w:rPr>
                <w:rFonts w:ascii="Calibri" w:hAnsi="Calibri" w:cs="Calibri"/>
                <w:sz w:val="22"/>
                <w:szCs w:val="22"/>
              </w:rPr>
              <w:t xml:space="preserve"> This may limit the number of subjects completing the study (although they will receive expensive treatment free of charge).</w:t>
            </w:r>
          </w:p>
        </w:tc>
      </w:tr>
      <w:tr w:rsidR="00B70C14" w:rsidRPr="00F92924" w14:paraId="0EB12B42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45DAEF55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Is the protocol following good clinical practice?</w:t>
            </w:r>
          </w:p>
        </w:tc>
        <w:tc>
          <w:tcPr>
            <w:tcW w:w="1133" w:type="dxa"/>
            <w:vAlign w:val="center"/>
          </w:tcPr>
          <w:p w14:paraId="7B1C7B3F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36BC5BA4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3DD530C2" w14:textId="7931158C" w:rsidR="00C028FD" w:rsidRPr="00F92924" w:rsidRDefault="00CA3331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Investigator’s brochures look more like glossy advertisements than informative document</w:t>
            </w:r>
          </w:p>
        </w:tc>
      </w:tr>
      <w:tr w:rsidR="00B70C14" w:rsidRPr="00F92924" w14:paraId="550E7F5B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73148242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power calculations, indicating the number of recruits required, accurate?</w:t>
            </w:r>
          </w:p>
        </w:tc>
        <w:tc>
          <w:tcPr>
            <w:tcW w:w="1133" w:type="dxa"/>
            <w:vAlign w:val="center"/>
          </w:tcPr>
          <w:p w14:paraId="74D61C74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22016DB5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2838B195" w14:textId="31796B3C" w:rsidR="00C028FD" w:rsidRPr="00F92924" w:rsidRDefault="00B80B79" w:rsidP="004A0D0B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subjects in each arm. 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Number of expected recruits from Canberra not stated. </w:t>
            </w:r>
            <w:r>
              <w:rPr>
                <w:rFonts w:ascii="Calibri" w:hAnsi="Calibri" w:cs="Calibri"/>
                <w:sz w:val="22"/>
                <w:szCs w:val="22"/>
              </w:rPr>
              <w:t>Appear to be sufficient</w:t>
            </w:r>
          </w:p>
        </w:tc>
      </w:tr>
      <w:tr w:rsidR="00B70C14" w:rsidRPr="00F92924" w14:paraId="5AEAEE8E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2BDA84A8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Is the proposed statistical analysis robust and accurate enough to deal with the data generated?</w:t>
            </w:r>
          </w:p>
        </w:tc>
        <w:tc>
          <w:tcPr>
            <w:tcW w:w="1133" w:type="dxa"/>
            <w:vAlign w:val="center"/>
          </w:tcPr>
          <w:p w14:paraId="791FFAF1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6CE78A07" w14:textId="77777777" w:rsidTr="001D5EA1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01CE92EF" w14:textId="73C8C4BC" w:rsidR="00C028FD" w:rsidRPr="00F92924" w:rsidRDefault="00B80B79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Multiple questionnaires/scales used for assessment. I assume that allowance will be made for multiple analyses.</w:t>
            </w:r>
          </w:p>
        </w:tc>
      </w:tr>
      <w:tr w:rsidR="00B70C14" w:rsidRPr="00F92924" w14:paraId="0ACAC7D9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09A71906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drug safety issues fully addressed?</w:t>
            </w:r>
          </w:p>
        </w:tc>
        <w:tc>
          <w:tcPr>
            <w:tcW w:w="1133" w:type="dxa"/>
            <w:vAlign w:val="center"/>
          </w:tcPr>
          <w:p w14:paraId="6A77A390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575086DF" w14:textId="77777777" w:rsidTr="001D5EA1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20617EF7" w14:textId="12A3BF68" w:rsidR="00C028FD" w:rsidRPr="00F92924" w:rsidRDefault="00057C14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Low risk of seizures.</w:t>
            </w:r>
            <w:r w:rsidR="00B80B79">
              <w:rPr>
                <w:rFonts w:ascii="Calibri" w:hAnsi="Calibri" w:cs="Calibri"/>
                <w:sz w:val="22"/>
                <w:szCs w:val="22"/>
              </w:rPr>
              <w:t xml:space="preserve"> Other side effects are 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uncomfortable or </w:t>
            </w:r>
            <w:r w:rsidR="00B80B79">
              <w:rPr>
                <w:rFonts w:ascii="Calibri" w:hAnsi="Calibri" w:cs="Calibri"/>
                <w:sz w:val="22"/>
                <w:szCs w:val="22"/>
              </w:rPr>
              <w:t>minor.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 Will qualified staff be present in the event of a seizure?</w:t>
            </w:r>
          </w:p>
        </w:tc>
      </w:tr>
      <w:tr w:rsidR="00C028FD" w:rsidRPr="00F92924" w14:paraId="44B47FCB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4752FB3E" w14:textId="77777777" w:rsidR="00C028FD" w:rsidRPr="00F92924" w:rsidRDefault="00C028FD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risks to recruits detailed in the proposal listed fully and completely in the PICF?</w:t>
            </w:r>
          </w:p>
        </w:tc>
        <w:tc>
          <w:tcPr>
            <w:tcW w:w="1133" w:type="dxa"/>
            <w:vAlign w:val="center"/>
          </w:tcPr>
          <w:p w14:paraId="557D5862" w14:textId="77777777" w:rsidR="00C028FD" w:rsidRPr="00F92924" w:rsidRDefault="00C028FD" w:rsidP="001D5EA1">
            <w:pPr>
              <w:tabs>
                <w:tab w:val="left" w:pos="1134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59608200" w14:textId="77777777" w:rsidTr="00B26B2C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5B976091" w14:textId="16FC82BF" w:rsidR="00C028FD" w:rsidRPr="00F92924" w:rsidRDefault="00CA3331" w:rsidP="00FF585F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Excessive description of credentials of investigators in PICF. Description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is quite technical, </w:t>
            </w:r>
            <w:r w:rsidR="00A05663">
              <w:rPr>
                <w:rFonts w:ascii="Calibri" w:hAnsi="Calibri" w:cs="Calibri"/>
                <w:sz w:val="22"/>
                <w:szCs w:val="22"/>
              </w:rPr>
              <w:t>but is adequate, considering the technical nature of the interventions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 Many parts of PICF in square brackets need to be completed. Study contact person etc not stated.</w:t>
            </w:r>
          </w:p>
        </w:tc>
      </w:tr>
      <w:tr w:rsidR="00C028FD" w:rsidRPr="00F92924" w14:paraId="4493F0D5" w14:textId="77777777" w:rsidTr="00B26B2C">
        <w:trPr>
          <w:jc w:val="center"/>
        </w:trPr>
        <w:tc>
          <w:tcPr>
            <w:tcW w:w="10291" w:type="dxa"/>
            <w:gridSpan w:val="4"/>
            <w:shd w:val="clear" w:color="auto" w:fill="8DB3E2"/>
            <w:vAlign w:val="center"/>
          </w:tcPr>
          <w:p w14:paraId="66682658" w14:textId="77777777" w:rsidR="00C028FD" w:rsidRPr="00F92924" w:rsidRDefault="00C028FD" w:rsidP="001D5EA1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Suggested Comments to the Researcher from HREC </w:t>
            </w:r>
          </w:p>
        </w:tc>
      </w:tr>
      <w:tr w:rsidR="00C028FD" w:rsidRPr="00F92924" w14:paraId="0ED7CE72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7A8B06AC" w14:textId="77777777" w:rsidR="00C028FD" w:rsidRPr="00F92924" w:rsidRDefault="00C028FD" w:rsidP="00B81547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RMI (NS1.1)</w:t>
            </w:r>
          </w:p>
          <w:p w14:paraId="428BF8E2" w14:textId="77777777" w:rsidR="00C028FD" w:rsidRPr="00F92924" w:rsidRDefault="00C028FD" w:rsidP="00B81547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8FD" w:rsidRPr="00F92924" w14:paraId="28854F41" w14:textId="77777777" w:rsidTr="00C028FD">
        <w:trPr>
          <w:jc w:val="center"/>
        </w:trPr>
        <w:tc>
          <w:tcPr>
            <w:tcW w:w="9158" w:type="dxa"/>
            <w:gridSpan w:val="3"/>
            <w:shd w:val="clear" w:color="auto" w:fill="8DB3E2"/>
            <w:vAlign w:val="center"/>
          </w:tcPr>
          <w:p w14:paraId="0817A4D0" w14:textId="77777777" w:rsidR="00C028FD" w:rsidRPr="00F92924" w:rsidRDefault="00C028FD" w:rsidP="00D6363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Do you have comments for the HREC to consider against any of the other </w:t>
            </w:r>
            <w:proofErr w:type="gramStart"/>
            <w:r w:rsidRPr="00F92924">
              <w:rPr>
                <w:rFonts w:ascii="Calibri" w:hAnsi="Calibri" w:cs="Calibri"/>
                <w:b/>
                <w:sz w:val="22"/>
                <w:szCs w:val="22"/>
              </w:rPr>
              <w:t>NS</w:t>
            </w:r>
            <w:proofErr w:type="gramEnd"/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 criteria?</w:t>
            </w:r>
          </w:p>
        </w:tc>
        <w:tc>
          <w:tcPr>
            <w:tcW w:w="1133" w:type="dxa"/>
            <w:vAlign w:val="center"/>
          </w:tcPr>
          <w:p w14:paraId="0E1A7849" w14:textId="77777777" w:rsidR="00C028FD" w:rsidRPr="00F92924" w:rsidRDefault="00C028FD" w:rsidP="00D63634">
            <w:pPr>
              <w:tabs>
                <w:tab w:val="left" w:pos="1134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Yes/No</w:t>
            </w:r>
          </w:p>
        </w:tc>
      </w:tr>
      <w:tr w:rsidR="00C028FD" w:rsidRPr="00F92924" w14:paraId="6E7023B0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1D3E3613" w14:textId="77777777" w:rsidR="00C028FD" w:rsidRPr="00F92924" w:rsidRDefault="00C028FD" w:rsidP="00B81547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Justice (NS1.4)</w:t>
            </w:r>
          </w:p>
          <w:p w14:paraId="76AD38FC" w14:textId="77777777" w:rsidR="00C028FD" w:rsidRPr="00F92924" w:rsidRDefault="00C028FD" w:rsidP="00B81547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8FD" w:rsidRPr="00F92924" w14:paraId="3F2E459B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5F1618C9" w14:textId="77777777" w:rsidR="00C028FD" w:rsidRPr="00F92924" w:rsidRDefault="00C028FD" w:rsidP="00B81547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Beneficence (NS1.6)</w:t>
            </w:r>
          </w:p>
          <w:p w14:paraId="6DC1CEFA" w14:textId="77777777" w:rsidR="00C028FD" w:rsidRPr="00F92924" w:rsidRDefault="00C028FD" w:rsidP="00B81547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8FD" w:rsidRPr="00F92924" w14:paraId="104B816A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6D311DA7" w14:textId="77777777" w:rsidR="00C028FD" w:rsidRPr="00F92924" w:rsidRDefault="00C028FD" w:rsidP="00B26B2C">
            <w:p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Respect (NS1.10)</w:t>
            </w:r>
          </w:p>
        </w:tc>
      </w:tr>
      <w:tr w:rsidR="00CC3444" w:rsidRPr="00F92924" w14:paraId="79B110CE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3BB068CB" w14:textId="77777777" w:rsidR="00CC3444" w:rsidRPr="00F92924" w:rsidRDefault="00CC3444" w:rsidP="00B26B2C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General Comments on Risks and Benefits</w:t>
            </w:r>
          </w:p>
        </w:tc>
      </w:tr>
    </w:tbl>
    <w:p w14:paraId="18DE9F9B" w14:textId="77777777" w:rsidR="007362AD" w:rsidRDefault="007362AD" w:rsidP="007917BE">
      <w:pPr>
        <w:spacing w:before="480" w:after="160"/>
        <w:rPr>
          <w:rFonts w:ascii="Arial" w:hAnsi="Arial" w:cs="Arial"/>
          <w:b/>
        </w:rPr>
      </w:pPr>
    </w:p>
    <w:sectPr w:rsidR="007362AD" w:rsidSect="008E7106">
      <w:headerReference w:type="first" r:id="rId8"/>
      <w:footerReference w:type="first" r:id="rId9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AF1A" w14:textId="77777777" w:rsidR="000B2D0F" w:rsidRDefault="000B2D0F">
      <w:r>
        <w:separator/>
      </w:r>
    </w:p>
  </w:endnote>
  <w:endnote w:type="continuationSeparator" w:id="0">
    <w:p w14:paraId="555CA937" w14:textId="77777777" w:rsidR="000B2D0F" w:rsidRDefault="000B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1341" w14:textId="77777777" w:rsidR="001D5EA1" w:rsidRPr="00F92924" w:rsidRDefault="00B26B2C" w:rsidP="007917BE">
    <w:pPr>
      <w:pStyle w:val="Footer"/>
      <w:jc w:val="right"/>
      <w:rPr>
        <w:rFonts w:ascii="Calibri" w:hAnsi="Calibri" w:cs="Calibri"/>
      </w:rPr>
    </w:pPr>
    <w:r w:rsidRPr="00F92924">
      <w:rPr>
        <w:rFonts w:ascii="Calibri" w:hAnsi="Calibri" w:cs="Calibri"/>
        <w:color w:val="7F7F7F"/>
        <w:sz w:val="18"/>
        <w:szCs w:val="18"/>
      </w:rPr>
      <w:t>CTSC</w:t>
    </w:r>
    <w:r w:rsidR="001D5EA1" w:rsidRPr="00F92924">
      <w:rPr>
        <w:rFonts w:ascii="Calibri" w:hAnsi="Calibri" w:cs="Calibri"/>
        <w:color w:val="7F7F7F"/>
        <w:sz w:val="18"/>
        <w:szCs w:val="18"/>
      </w:rPr>
      <w:t xml:space="preserve"> Reviewer Template 2</w:t>
    </w:r>
    <w:r w:rsidR="00D90D8E" w:rsidRPr="00F92924">
      <w:rPr>
        <w:rFonts w:ascii="Calibri" w:hAnsi="Calibri" w:cs="Calibri"/>
        <w:color w:val="7F7F7F"/>
        <w:sz w:val="18"/>
        <w:szCs w:val="18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42D0" w14:textId="77777777" w:rsidR="000B2D0F" w:rsidRDefault="000B2D0F">
      <w:r>
        <w:separator/>
      </w:r>
    </w:p>
  </w:footnote>
  <w:footnote w:type="continuationSeparator" w:id="0">
    <w:p w14:paraId="758310B0" w14:textId="77777777" w:rsidR="000B2D0F" w:rsidRDefault="000B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3" w:type="dxa"/>
      <w:jc w:val="center"/>
      <w:tblLayout w:type="fixed"/>
      <w:tblCellMar>
        <w:top w:w="113" w:type="dxa"/>
        <w:left w:w="113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3519"/>
      <w:gridCol w:w="5864"/>
    </w:tblGrid>
    <w:tr w:rsidR="001D5EA1" w14:paraId="0DFA292D" w14:textId="77777777" w:rsidTr="00D90D8E">
      <w:trPr>
        <w:trHeight w:hRule="exact" w:val="928"/>
        <w:jc w:val="center"/>
      </w:trPr>
      <w:tc>
        <w:tcPr>
          <w:tcW w:w="3519" w:type="dxa"/>
          <w:vAlign w:val="center"/>
          <w:hideMark/>
        </w:tcPr>
        <w:p w14:paraId="4F34186C" w14:textId="77777777" w:rsidR="001D5EA1" w:rsidRDefault="001D5EA1" w:rsidP="00B21D27">
          <w:pPr>
            <w:ind w:left="-108"/>
          </w:pPr>
        </w:p>
      </w:tc>
      <w:tc>
        <w:tcPr>
          <w:tcW w:w="5864" w:type="dxa"/>
          <w:vAlign w:val="center"/>
          <w:hideMark/>
        </w:tcPr>
        <w:p w14:paraId="1C99C127" w14:textId="77777777" w:rsidR="001D5EA1" w:rsidRPr="00F92924" w:rsidRDefault="00D90D8E" w:rsidP="00B21D27">
          <w:pPr>
            <w:pStyle w:val="Heading1"/>
            <w:tabs>
              <w:tab w:val="clear" w:pos="567"/>
              <w:tab w:val="clear" w:pos="1134"/>
              <w:tab w:val="clear" w:pos="1620"/>
              <w:tab w:val="clear" w:pos="3600"/>
            </w:tabs>
            <w:jc w:val="right"/>
            <w:rPr>
              <w:rFonts w:ascii="Calibri" w:hAnsi="Calibri" w:cs="Calibri"/>
              <w:i w:val="0"/>
              <w:szCs w:val="24"/>
            </w:rPr>
          </w:pPr>
          <w:r w:rsidRPr="00F92924">
            <w:rPr>
              <w:rFonts w:ascii="Calibri" w:hAnsi="Calibri" w:cs="Calibri"/>
              <w:i w:val="0"/>
              <w:szCs w:val="24"/>
            </w:rPr>
            <w:t>Research Ethics and Governance Office</w:t>
          </w:r>
        </w:p>
        <w:p w14:paraId="5193A772" w14:textId="77777777" w:rsidR="001D5EA1" w:rsidRPr="00F92924" w:rsidRDefault="001D5EA1" w:rsidP="007917BE">
          <w:pPr>
            <w:pStyle w:val="Heading1"/>
            <w:tabs>
              <w:tab w:val="clear" w:pos="567"/>
              <w:tab w:val="clear" w:pos="1134"/>
              <w:tab w:val="clear" w:pos="1620"/>
              <w:tab w:val="clear" w:pos="3600"/>
            </w:tabs>
            <w:jc w:val="right"/>
            <w:rPr>
              <w:rFonts w:ascii="Calibri" w:hAnsi="Calibri" w:cs="Calibri"/>
              <w:i w:val="0"/>
              <w:szCs w:val="24"/>
            </w:rPr>
          </w:pPr>
          <w:r w:rsidRPr="00F92924">
            <w:rPr>
              <w:rFonts w:ascii="Calibri" w:hAnsi="Calibri" w:cs="Calibri"/>
              <w:i w:val="0"/>
              <w:szCs w:val="24"/>
            </w:rPr>
            <w:t>Human Research Ethics Committee</w:t>
          </w:r>
        </w:p>
        <w:p w14:paraId="288B95AF" w14:textId="77777777" w:rsidR="00B26B2C" w:rsidRPr="00B26B2C" w:rsidRDefault="00B26B2C" w:rsidP="00B26B2C">
          <w:pPr>
            <w:jc w:val="right"/>
            <w:rPr>
              <w:sz w:val="22"/>
              <w:szCs w:val="22"/>
            </w:rPr>
          </w:pPr>
          <w:r w:rsidRPr="00F92924">
            <w:rPr>
              <w:rFonts w:ascii="Calibri" w:hAnsi="Calibri" w:cs="Calibri"/>
              <w:szCs w:val="24"/>
            </w:rPr>
            <w:t>Clinical Trials Sub-Committee</w:t>
          </w:r>
        </w:p>
      </w:tc>
    </w:tr>
  </w:tbl>
  <w:p w14:paraId="510A6B94" w14:textId="0FCB775C" w:rsidR="001D5EA1" w:rsidRPr="007917BE" w:rsidRDefault="00FA19B8" w:rsidP="00B26B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C1AF6D" wp14:editId="5E196884">
          <wp:simplePos x="0" y="0"/>
          <wp:positionH relativeFrom="margin">
            <wp:posOffset>83820</wp:posOffset>
          </wp:positionH>
          <wp:positionV relativeFrom="margin">
            <wp:posOffset>-740410</wp:posOffset>
          </wp:positionV>
          <wp:extent cx="1985645" cy="508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2B"/>
    <w:multiLevelType w:val="multilevel"/>
    <w:tmpl w:val="4AEE0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43108"/>
    <w:multiLevelType w:val="singleLevel"/>
    <w:tmpl w:val="85A0C220"/>
    <w:lvl w:ilvl="0">
      <w:start w:val="9"/>
      <w:numFmt w:val="decimal"/>
      <w:lvlText w:val="%1."/>
      <w:lvlJc w:val="left"/>
      <w:pPr>
        <w:tabs>
          <w:tab w:val="num" w:pos="494"/>
        </w:tabs>
        <w:ind w:left="494" w:hanging="570"/>
      </w:pPr>
      <w:rPr>
        <w:rFonts w:hint="default"/>
      </w:rPr>
    </w:lvl>
  </w:abstractNum>
  <w:abstractNum w:abstractNumId="2" w15:restartNumberingAfterBreak="0">
    <w:nsid w:val="0BD178D4"/>
    <w:multiLevelType w:val="hybridMultilevel"/>
    <w:tmpl w:val="53787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BDC"/>
    <w:multiLevelType w:val="hybridMultilevel"/>
    <w:tmpl w:val="10AC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F6A"/>
    <w:multiLevelType w:val="multilevel"/>
    <w:tmpl w:val="849A7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EC0C0E"/>
    <w:multiLevelType w:val="hybridMultilevel"/>
    <w:tmpl w:val="6D605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CAA"/>
    <w:multiLevelType w:val="multilevel"/>
    <w:tmpl w:val="CE3C5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C7AAC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3D76E3"/>
    <w:multiLevelType w:val="multilevel"/>
    <w:tmpl w:val="53BE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6B209C"/>
    <w:multiLevelType w:val="multilevel"/>
    <w:tmpl w:val="52FE7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081CDA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995FC4"/>
    <w:multiLevelType w:val="hybridMultilevel"/>
    <w:tmpl w:val="404612E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D639C8"/>
    <w:multiLevelType w:val="hybridMultilevel"/>
    <w:tmpl w:val="E8D6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660F5"/>
    <w:multiLevelType w:val="hybridMultilevel"/>
    <w:tmpl w:val="AF583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3B53"/>
    <w:multiLevelType w:val="hybridMultilevel"/>
    <w:tmpl w:val="46BC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F45"/>
    <w:multiLevelType w:val="multilevel"/>
    <w:tmpl w:val="849A7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BA5070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612563">
    <w:abstractNumId w:val="1"/>
  </w:num>
  <w:num w:numId="2" w16cid:durableId="2007703819">
    <w:abstractNumId w:val="8"/>
  </w:num>
  <w:num w:numId="3" w16cid:durableId="1471166701">
    <w:abstractNumId w:val="11"/>
  </w:num>
  <w:num w:numId="4" w16cid:durableId="725252163">
    <w:abstractNumId w:val="15"/>
  </w:num>
  <w:num w:numId="5" w16cid:durableId="2028679142">
    <w:abstractNumId w:val="4"/>
  </w:num>
  <w:num w:numId="6" w16cid:durableId="1464040666">
    <w:abstractNumId w:val="10"/>
  </w:num>
  <w:num w:numId="7" w16cid:durableId="62679571">
    <w:abstractNumId w:val="7"/>
  </w:num>
  <w:num w:numId="8" w16cid:durableId="765080811">
    <w:abstractNumId w:val="12"/>
  </w:num>
  <w:num w:numId="9" w16cid:durableId="1677221227">
    <w:abstractNumId w:val="16"/>
  </w:num>
  <w:num w:numId="10" w16cid:durableId="249706416">
    <w:abstractNumId w:val="0"/>
  </w:num>
  <w:num w:numId="11" w16cid:durableId="225146382">
    <w:abstractNumId w:val="6"/>
  </w:num>
  <w:num w:numId="12" w16cid:durableId="1164779128">
    <w:abstractNumId w:val="9"/>
  </w:num>
  <w:num w:numId="13" w16cid:durableId="666523330">
    <w:abstractNumId w:val="13"/>
  </w:num>
  <w:num w:numId="14" w16cid:durableId="316031557">
    <w:abstractNumId w:val="14"/>
  </w:num>
  <w:num w:numId="15" w16cid:durableId="168762076">
    <w:abstractNumId w:val="3"/>
  </w:num>
  <w:num w:numId="16" w16cid:durableId="1416199500">
    <w:abstractNumId w:val="5"/>
  </w:num>
  <w:num w:numId="17" w16cid:durableId="117723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8B"/>
    <w:rsid w:val="000174C9"/>
    <w:rsid w:val="0003093D"/>
    <w:rsid w:val="00034E67"/>
    <w:rsid w:val="00051278"/>
    <w:rsid w:val="00057C14"/>
    <w:rsid w:val="00067062"/>
    <w:rsid w:val="00070C3C"/>
    <w:rsid w:val="000B2D0F"/>
    <w:rsid w:val="000B7D3C"/>
    <w:rsid w:val="000D71BC"/>
    <w:rsid w:val="000F054E"/>
    <w:rsid w:val="00103C8A"/>
    <w:rsid w:val="0012338E"/>
    <w:rsid w:val="001267A8"/>
    <w:rsid w:val="00172160"/>
    <w:rsid w:val="00173DFC"/>
    <w:rsid w:val="001811B8"/>
    <w:rsid w:val="001A3C30"/>
    <w:rsid w:val="001D18A4"/>
    <w:rsid w:val="001D59DE"/>
    <w:rsid w:val="001D5EA1"/>
    <w:rsid w:val="001F060F"/>
    <w:rsid w:val="001F2F25"/>
    <w:rsid w:val="001F3235"/>
    <w:rsid w:val="0020367B"/>
    <w:rsid w:val="0023048D"/>
    <w:rsid w:val="00233AA0"/>
    <w:rsid w:val="002533F6"/>
    <w:rsid w:val="00254CFA"/>
    <w:rsid w:val="002B176C"/>
    <w:rsid w:val="002C65E9"/>
    <w:rsid w:val="002D05BD"/>
    <w:rsid w:val="002D6120"/>
    <w:rsid w:val="002E326B"/>
    <w:rsid w:val="002E7193"/>
    <w:rsid w:val="0032686A"/>
    <w:rsid w:val="003567ED"/>
    <w:rsid w:val="003763F1"/>
    <w:rsid w:val="003B1D3A"/>
    <w:rsid w:val="003B798B"/>
    <w:rsid w:val="003D0A05"/>
    <w:rsid w:val="003E5376"/>
    <w:rsid w:val="00404397"/>
    <w:rsid w:val="00431591"/>
    <w:rsid w:val="00436B2D"/>
    <w:rsid w:val="00445375"/>
    <w:rsid w:val="0044724C"/>
    <w:rsid w:val="00453ABB"/>
    <w:rsid w:val="00457BC1"/>
    <w:rsid w:val="00461670"/>
    <w:rsid w:val="00477E22"/>
    <w:rsid w:val="00491F31"/>
    <w:rsid w:val="004A0D0B"/>
    <w:rsid w:val="004A5FF9"/>
    <w:rsid w:val="004B1AE4"/>
    <w:rsid w:val="004B1B47"/>
    <w:rsid w:val="004B31CD"/>
    <w:rsid w:val="004C1EF5"/>
    <w:rsid w:val="004F3BFF"/>
    <w:rsid w:val="00507BD0"/>
    <w:rsid w:val="00541B3C"/>
    <w:rsid w:val="005629FC"/>
    <w:rsid w:val="00571E0F"/>
    <w:rsid w:val="00587C75"/>
    <w:rsid w:val="00593219"/>
    <w:rsid w:val="00595F43"/>
    <w:rsid w:val="005C5F1A"/>
    <w:rsid w:val="005D0954"/>
    <w:rsid w:val="005F4783"/>
    <w:rsid w:val="00613149"/>
    <w:rsid w:val="00631886"/>
    <w:rsid w:val="00653BDF"/>
    <w:rsid w:val="006C180D"/>
    <w:rsid w:val="006C4820"/>
    <w:rsid w:val="006E698B"/>
    <w:rsid w:val="00701EE9"/>
    <w:rsid w:val="00730CF8"/>
    <w:rsid w:val="007362AD"/>
    <w:rsid w:val="00790932"/>
    <w:rsid w:val="007917BE"/>
    <w:rsid w:val="007C5E57"/>
    <w:rsid w:val="007D0126"/>
    <w:rsid w:val="007D1CD1"/>
    <w:rsid w:val="007E57D1"/>
    <w:rsid w:val="007F7B39"/>
    <w:rsid w:val="008654CB"/>
    <w:rsid w:val="0087311E"/>
    <w:rsid w:val="008B5019"/>
    <w:rsid w:val="008E1007"/>
    <w:rsid w:val="008E16BF"/>
    <w:rsid w:val="008E7106"/>
    <w:rsid w:val="008F1B1F"/>
    <w:rsid w:val="008F35F4"/>
    <w:rsid w:val="00900532"/>
    <w:rsid w:val="00920837"/>
    <w:rsid w:val="00934D9A"/>
    <w:rsid w:val="00971085"/>
    <w:rsid w:val="009C6669"/>
    <w:rsid w:val="009D0A06"/>
    <w:rsid w:val="009D50F9"/>
    <w:rsid w:val="009E2F89"/>
    <w:rsid w:val="009E4D6F"/>
    <w:rsid w:val="009F1979"/>
    <w:rsid w:val="00A05663"/>
    <w:rsid w:val="00A10644"/>
    <w:rsid w:val="00A114C1"/>
    <w:rsid w:val="00A1459B"/>
    <w:rsid w:val="00A258E0"/>
    <w:rsid w:val="00A27A4E"/>
    <w:rsid w:val="00A34D2A"/>
    <w:rsid w:val="00A450F3"/>
    <w:rsid w:val="00A6723D"/>
    <w:rsid w:val="00AC1B62"/>
    <w:rsid w:val="00AE0B08"/>
    <w:rsid w:val="00AE1C0A"/>
    <w:rsid w:val="00AE4D46"/>
    <w:rsid w:val="00AE4E6F"/>
    <w:rsid w:val="00B07F74"/>
    <w:rsid w:val="00B21D27"/>
    <w:rsid w:val="00B25E8C"/>
    <w:rsid w:val="00B26B2C"/>
    <w:rsid w:val="00B3555C"/>
    <w:rsid w:val="00B3774B"/>
    <w:rsid w:val="00B608D5"/>
    <w:rsid w:val="00B70AF8"/>
    <w:rsid w:val="00B70C14"/>
    <w:rsid w:val="00B80B79"/>
    <w:rsid w:val="00B81547"/>
    <w:rsid w:val="00B8309E"/>
    <w:rsid w:val="00B84B1B"/>
    <w:rsid w:val="00BE592A"/>
    <w:rsid w:val="00BF0E34"/>
    <w:rsid w:val="00BF2942"/>
    <w:rsid w:val="00BF3600"/>
    <w:rsid w:val="00BF4FDC"/>
    <w:rsid w:val="00C01216"/>
    <w:rsid w:val="00C028FD"/>
    <w:rsid w:val="00C02E6D"/>
    <w:rsid w:val="00C04884"/>
    <w:rsid w:val="00C206FC"/>
    <w:rsid w:val="00C27337"/>
    <w:rsid w:val="00C27CAF"/>
    <w:rsid w:val="00C437BD"/>
    <w:rsid w:val="00C74F4A"/>
    <w:rsid w:val="00C77135"/>
    <w:rsid w:val="00C8042E"/>
    <w:rsid w:val="00CA1B92"/>
    <w:rsid w:val="00CA3331"/>
    <w:rsid w:val="00CA3855"/>
    <w:rsid w:val="00CC3444"/>
    <w:rsid w:val="00CD29CD"/>
    <w:rsid w:val="00D5456E"/>
    <w:rsid w:val="00D63634"/>
    <w:rsid w:val="00D71781"/>
    <w:rsid w:val="00D90D8E"/>
    <w:rsid w:val="00D935DA"/>
    <w:rsid w:val="00DA017E"/>
    <w:rsid w:val="00DA12DD"/>
    <w:rsid w:val="00DC69D3"/>
    <w:rsid w:val="00DF0458"/>
    <w:rsid w:val="00E04CDC"/>
    <w:rsid w:val="00E13431"/>
    <w:rsid w:val="00E1380C"/>
    <w:rsid w:val="00E26ABF"/>
    <w:rsid w:val="00E2748B"/>
    <w:rsid w:val="00E36A28"/>
    <w:rsid w:val="00E63898"/>
    <w:rsid w:val="00E90980"/>
    <w:rsid w:val="00E96D66"/>
    <w:rsid w:val="00EB2C84"/>
    <w:rsid w:val="00ED4E64"/>
    <w:rsid w:val="00EF0840"/>
    <w:rsid w:val="00F443A3"/>
    <w:rsid w:val="00F46399"/>
    <w:rsid w:val="00F75391"/>
    <w:rsid w:val="00F828D2"/>
    <w:rsid w:val="00F92924"/>
    <w:rsid w:val="00FA19B8"/>
    <w:rsid w:val="00FC57B5"/>
    <w:rsid w:val="00FD3CF7"/>
    <w:rsid w:val="00FE2C3B"/>
    <w:rsid w:val="00FF0307"/>
    <w:rsid w:val="00FF03A1"/>
    <w:rsid w:val="00FF3984"/>
    <w:rsid w:val="00FF4CB0"/>
    <w:rsid w:val="00FF585F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A856B"/>
  <w15:chartTrackingRefBased/>
  <w15:docId w15:val="{D3D7BF7E-113C-424C-A523-D0382FA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7BE"/>
    <w:pPr>
      <w:keepNext/>
      <w:tabs>
        <w:tab w:val="left" w:pos="567"/>
        <w:tab w:val="left" w:pos="1134"/>
        <w:tab w:val="left" w:pos="1620"/>
        <w:tab w:val="left" w:pos="3600"/>
      </w:tabs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5670"/>
        <w:tab w:val="left" w:pos="8080"/>
      </w:tabs>
      <w:ind w:left="1418" w:hanging="1418"/>
    </w:pPr>
  </w:style>
  <w:style w:type="paragraph" w:styleId="BodyText">
    <w:name w:val="Body Text"/>
    <w:basedOn w:val="Normal"/>
    <w:pPr>
      <w:tabs>
        <w:tab w:val="left" w:pos="808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567"/>
        <w:tab w:val="left" w:pos="3600"/>
      </w:tabs>
      <w:ind w:left="1276" w:hanging="1276"/>
    </w:pPr>
    <w:rPr>
      <w:lang w:val="en-GB"/>
    </w:rPr>
  </w:style>
  <w:style w:type="paragraph" w:styleId="BodyTextIndent2">
    <w:name w:val="Body Text Indent 2"/>
    <w:basedOn w:val="Normal"/>
    <w:pPr>
      <w:tabs>
        <w:tab w:val="left" w:pos="567"/>
        <w:tab w:val="left" w:pos="3600"/>
      </w:tabs>
      <w:ind w:left="1134" w:hanging="1134"/>
    </w:pPr>
    <w:rPr>
      <w:lang w:val="en-GB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6723D"/>
    <w:pPr>
      <w:ind w:left="720"/>
    </w:pPr>
  </w:style>
  <w:style w:type="character" w:styleId="Hyperlink">
    <w:name w:val="Hyperlink"/>
    <w:rsid w:val="004B31CD"/>
    <w:rPr>
      <w:color w:val="0000FF"/>
      <w:u w:val="single"/>
    </w:rPr>
  </w:style>
  <w:style w:type="paragraph" w:styleId="NormalWeb">
    <w:name w:val="Normal (Web)"/>
    <w:basedOn w:val="Normal"/>
    <w:rsid w:val="004B31C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semiHidden/>
    <w:rsid w:val="000D7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7917BE"/>
    <w:rPr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DB46-7537-4E0A-9A65-3197441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TRIALS SUB COMMITTEE</vt:lpstr>
    </vt:vector>
  </TitlesOfParts>
  <Company>InTACT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TRIALS SUB COMMITTEE</dc:title>
  <dc:subject/>
  <dc:creator>gordon everitt</dc:creator>
  <cp:keywords/>
  <cp:lastModifiedBy>Robert Schmidli</cp:lastModifiedBy>
  <cp:revision>3</cp:revision>
  <cp:lastPrinted>2011-12-08T09:33:00Z</cp:lastPrinted>
  <dcterms:created xsi:type="dcterms:W3CDTF">2022-10-29T04:11:00Z</dcterms:created>
  <dcterms:modified xsi:type="dcterms:W3CDTF">2022-10-29T04:25:00Z</dcterms:modified>
</cp:coreProperties>
</file>