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0A159" w14:textId="19AA0BD5" w:rsidR="00FE2218" w:rsidRDefault="00F1670D">
      <w:r>
        <w:t>ENDO 2023</w:t>
      </w:r>
    </w:p>
    <w:p w14:paraId="03B17B9C" w14:textId="2B92FD24" w:rsidR="00F1670D" w:rsidRPr="00F1670D" w:rsidRDefault="00F1670D">
      <w:pPr>
        <w:rPr>
          <w:b/>
          <w:bCs/>
        </w:rPr>
      </w:pPr>
      <w:r w:rsidRPr="00F1670D">
        <w:rPr>
          <w:b/>
          <w:bCs/>
        </w:rPr>
        <w:t>Hyperaldosteronism</w:t>
      </w:r>
    </w:p>
    <w:p w14:paraId="20060449" w14:textId="3F8A353C" w:rsidR="00F1670D" w:rsidRDefault="00F1670D" w:rsidP="001A412A">
      <w:pPr>
        <w:pStyle w:val="ListParagraph"/>
        <w:numPr>
          <w:ilvl w:val="0"/>
          <w:numId w:val="2"/>
        </w:numPr>
        <w:ind w:left="426"/>
      </w:pPr>
      <w:r>
        <w:t>Use of steroid profiling – may be useful to distinguish bilateral from unilateral adenoma/hyperplasia</w:t>
      </w:r>
    </w:p>
    <w:p w14:paraId="26B181C0" w14:textId="2B03374A" w:rsidR="00F1670D" w:rsidRDefault="00F1670D" w:rsidP="001A412A">
      <w:pPr>
        <w:pStyle w:val="ListParagraph"/>
        <w:numPr>
          <w:ilvl w:val="0"/>
          <w:numId w:val="2"/>
        </w:numPr>
        <w:ind w:left="426"/>
      </w:pPr>
      <w:r w:rsidRPr="00F1670D">
        <w:t>PA genotypes display differences in histology, steroidogenic enzyme expression &amp; aldo-regulated gene expression</w:t>
      </w:r>
    </w:p>
    <w:p w14:paraId="2B46304A" w14:textId="02FA3C1E" w:rsidR="00F1670D" w:rsidRDefault="00F1670D">
      <w:pPr>
        <w:rPr>
          <w:b/>
          <w:bCs/>
        </w:rPr>
      </w:pPr>
      <w:r w:rsidRPr="00F1670D">
        <w:rPr>
          <w:b/>
          <w:bCs/>
        </w:rPr>
        <w:t>Abnormalities of water balance</w:t>
      </w:r>
    </w:p>
    <w:p w14:paraId="53A01C2C" w14:textId="5EA4D5AC" w:rsidR="00F1670D" w:rsidRDefault="00F1670D" w:rsidP="001A412A">
      <w:pPr>
        <w:pStyle w:val="ListParagraph"/>
        <w:numPr>
          <w:ilvl w:val="0"/>
          <w:numId w:val="2"/>
        </w:numPr>
        <w:ind w:left="426"/>
      </w:pPr>
      <w:r>
        <w:t xml:space="preserve">Hypokalaemia not usually seen in SIADH – suggests solute depletion – </w:t>
      </w:r>
      <w:proofErr w:type="spellStart"/>
      <w:r>
        <w:t>eg</w:t>
      </w:r>
      <w:proofErr w:type="spellEnd"/>
      <w:r>
        <w:t xml:space="preserve"> alcoholism, beer </w:t>
      </w:r>
      <w:proofErr w:type="spellStart"/>
      <w:r>
        <w:t>potomania</w:t>
      </w:r>
      <w:proofErr w:type="spellEnd"/>
    </w:p>
    <w:p w14:paraId="21AA0683" w14:textId="0055005D" w:rsidR="00F1670D" w:rsidRDefault="00F1670D" w:rsidP="001A412A">
      <w:pPr>
        <w:pStyle w:val="ListParagraph"/>
        <w:numPr>
          <w:ilvl w:val="0"/>
          <w:numId w:val="2"/>
        </w:numPr>
        <w:ind w:left="426"/>
      </w:pPr>
      <w:r>
        <w:t>Stabilise N</w:t>
      </w:r>
      <w:r w:rsidR="00F23483">
        <w:t>a</w:t>
      </w:r>
      <w:r>
        <w:t>+ level by matching urine output with dextrose</w:t>
      </w:r>
    </w:p>
    <w:p w14:paraId="6DD81A4F" w14:textId="26D32E06" w:rsidR="00F23483" w:rsidRDefault="00F23483" w:rsidP="001A412A">
      <w:pPr>
        <w:pStyle w:val="ListParagraph"/>
        <w:numPr>
          <w:ilvl w:val="0"/>
          <w:numId w:val="2"/>
        </w:numPr>
        <w:ind w:left="426"/>
      </w:pPr>
      <w:r>
        <w:t>Osmotic demyelination usually occurs if Na+ &lt;120mmol/L</w:t>
      </w:r>
    </w:p>
    <w:p w14:paraId="2B9A25CF" w14:textId="4B7B7572" w:rsidR="00F23483" w:rsidRDefault="00F23483" w:rsidP="001A412A">
      <w:pPr>
        <w:pStyle w:val="ListParagraph"/>
        <w:numPr>
          <w:ilvl w:val="0"/>
          <w:numId w:val="2"/>
        </w:numPr>
        <w:ind w:left="426"/>
      </w:pPr>
      <w:r w:rsidRPr="00F23483">
        <w:t>Correction 10-12 safe, high risk, use 8</w:t>
      </w:r>
    </w:p>
    <w:p w14:paraId="1A0287D3" w14:textId="7E986DDE" w:rsidR="00F23483" w:rsidRDefault="00F23483" w:rsidP="001A412A">
      <w:pPr>
        <w:pStyle w:val="ListParagraph"/>
        <w:numPr>
          <w:ilvl w:val="0"/>
          <w:numId w:val="2"/>
        </w:numPr>
        <w:ind w:left="426"/>
      </w:pPr>
      <w:r w:rsidRPr="00F23483">
        <w:t>Greatest risk in hypovolaemic pts treated with volume repletion (NS or 3% Na)</w:t>
      </w:r>
    </w:p>
    <w:p w14:paraId="1A2986B8" w14:textId="0C00FCC2" w:rsidR="00F23483" w:rsidRDefault="00F23483" w:rsidP="001A412A">
      <w:pPr>
        <w:pStyle w:val="ListParagraph"/>
        <w:numPr>
          <w:ilvl w:val="0"/>
          <w:numId w:val="2"/>
        </w:numPr>
        <w:ind w:left="426"/>
      </w:pPr>
      <w:proofErr w:type="spellStart"/>
      <w:r>
        <w:t>Langerhan’s</w:t>
      </w:r>
      <w:proofErr w:type="spellEnd"/>
      <w:r>
        <w:t xml:space="preserve"> </w:t>
      </w:r>
      <w:proofErr w:type="spellStart"/>
      <w:r>
        <w:t>histiocytosis</w:t>
      </w:r>
      <w:proofErr w:type="spellEnd"/>
      <w:r>
        <w:t>: DI usually first feature – need to follow up + imaging</w:t>
      </w:r>
    </w:p>
    <w:p w14:paraId="236E77A8" w14:textId="792D55C2" w:rsidR="00F1670D" w:rsidRDefault="00F23483" w:rsidP="001A412A">
      <w:pPr>
        <w:pStyle w:val="ListParagraph"/>
        <w:numPr>
          <w:ilvl w:val="0"/>
          <w:numId w:val="2"/>
        </w:numPr>
        <w:ind w:left="426"/>
      </w:pPr>
      <w:r>
        <w:t>Start Desmopressin at night</w:t>
      </w:r>
    </w:p>
    <w:p w14:paraId="3FC1C88B" w14:textId="74143E94" w:rsidR="00F23483" w:rsidRDefault="00F23483" w:rsidP="001A412A">
      <w:pPr>
        <w:pStyle w:val="ListParagraph"/>
        <w:numPr>
          <w:ilvl w:val="0"/>
          <w:numId w:val="2"/>
        </w:numPr>
        <w:ind w:left="426"/>
      </w:pPr>
      <w:r w:rsidRPr="00F23483">
        <w:t xml:space="preserve">Ask pt to delay dose once weekly until aquaresis occurs, inform symptoms </w:t>
      </w:r>
      <w:proofErr w:type="spellStart"/>
      <w:r w:rsidRPr="00F23483">
        <w:t>hypoNa</w:t>
      </w:r>
      <w:proofErr w:type="spellEnd"/>
    </w:p>
    <w:p w14:paraId="07D63CE5" w14:textId="6EDD1A19" w:rsidR="00F23483" w:rsidRDefault="00F23483" w:rsidP="001A412A">
      <w:pPr>
        <w:pStyle w:val="ListParagraph"/>
        <w:numPr>
          <w:ilvl w:val="0"/>
          <w:numId w:val="2"/>
        </w:numPr>
        <w:ind w:left="426"/>
      </w:pPr>
      <w:r>
        <w:t>Use 24hr urine as estimate of daily intake. Include insensible losses</w:t>
      </w:r>
      <w:r w:rsidR="001A412A">
        <w:t xml:space="preserve"> - ~800ml/day</w:t>
      </w:r>
    </w:p>
    <w:p w14:paraId="158FC61A" w14:textId="6BB00947" w:rsidR="001A412A" w:rsidRDefault="001A412A" w:rsidP="001A412A">
      <w:pPr>
        <w:pStyle w:val="ListParagraph"/>
        <w:numPr>
          <w:ilvl w:val="0"/>
          <w:numId w:val="2"/>
        </w:numPr>
        <w:ind w:left="426"/>
      </w:pPr>
      <w:r>
        <w:t>Na+ 130-134 usually not associated with complications – may be higher in elderly</w:t>
      </w:r>
    </w:p>
    <w:p w14:paraId="305E6A62" w14:textId="7503C69D" w:rsidR="001A412A" w:rsidRDefault="001A412A" w:rsidP="001A412A">
      <w:pPr>
        <w:pStyle w:val="ListParagraph"/>
        <w:numPr>
          <w:ilvl w:val="0"/>
          <w:numId w:val="2"/>
        </w:numPr>
        <w:ind w:left="426"/>
      </w:pPr>
      <w:r>
        <w:t>Consider DEXA</w:t>
      </w:r>
    </w:p>
    <w:p w14:paraId="0EEFC24F" w14:textId="77777777" w:rsidR="001A412A" w:rsidRDefault="001A412A" w:rsidP="001A412A">
      <w:pPr>
        <w:pStyle w:val="ListParagraph"/>
        <w:numPr>
          <w:ilvl w:val="0"/>
          <w:numId w:val="2"/>
        </w:numPr>
        <w:ind w:left="426"/>
      </w:pPr>
      <w:r>
        <w:t>Hypertonic Na test requires 30m turnaround Na from lab</w:t>
      </w:r>
    </w:p>
    <w:p w14:paraId="1EFDFBDC" w14:textId="77777777" w:rsidR="001A412A" w:rsidRDefault="001A412A" w:rsidP="001A412A">
      <w:pPr>
        <w:pStyle w:val="ListParagraph"/>
        <w:numPr>
          <w:ilvl w:val="0"/>
          <w:numId w:val="2"/>
        </w:numPr>
        <w:ind w:left="426"/>
      </w:pPr>
      <w:r>
        <w:t>Chronic primary polydipsia - lose urinary concentrating ability 400-600mOsmol/kg. Normal &gt;800</w:t>
      </w:r>
    </w:p>
    <w:p w14:paraId="432DFD80" w14:textId="0366B1FA" w:rsidR="001A412A" w:rsidRDefault="001A412A" w:rsidP="001A412A">
      <w:pPr>
        <w:pStyle w:val="ListParagraph"/>
        <w:numPr>
          <w:ilvl w:val="0"/>
          <w:numId w:val="2"/>
        </w:numPr>
        <w:ind w:left="426"/>
      </w:pPr>
      <w:r>
        <w:t>3-5 days to restore normal concentrating ability</w:t>
      </w:r>
    </w:p>
    <w:p w14:paraId="78D5DC0C" w14:textId="5DD6C104" w:rsidR="001A412A" w:rsidRDefault="001A412A" w:rsidP="001A412A">
      <w:r>
        <w:rPr>
          <w:b/>
          <w:bCs/>
        </w:rPr>
        <w:t>NAFLD</w:t>
      </w:r>
    </w:p>
    <w:p w14:paraId="29B6C16F" w14:textId="57DAA81D" w:rsidR="001A412A" w:rsidRDefault="001A412A" w:rsidP="001A412A">
      <w:pPr>
        <w:pStyle w:val="ListParagraph"/>
        <w:numPr>
          <w:ilvl w:val="0"/>
          <w:numId w:val="2"/>
        </w:numPr>
        <w:ind w:left="426"/>
      </w:pPr>
      <w:r>
        <w:t>CV disease leading cause of death</w:t>
      </w:r>
    </w:p>
    <w:p w14:paraId="3FBB5831" w14:textId="055D57FE" w:rsidR="001A412A" w:rsidRDefault="001A412A" w:rsidP="001A412A">
      <w:pPr>
        <w:pStyle w:val="ListParagraph"/>
        <w:numPr>
          <w:ilvl w:val="1"/>
          <w:numId w:val="2"/>
        </w:numPr>
        <w:ind w:left="426"/>
      </w:pPr>
      <w:r>
        <w:t>Bariatric surgery: NASH resolution 1yr</w:t>
      </w:r>
    </w:p>
    <w:p w14:paraId="19D2AA94" w14:textId="09BEB05D" w:rsidR="001A412A" w:rsidRDefault="001A412A" w:rsidP="001A412A">
      <w:pPr>
        <w:pStyle w:val="ListParagraph"/>
        <w:numPr>
          <w:ilvl w:val="0"/>
          <w:numId w:val="2"/>
        </w:numPr>
        <w:ind w:left="426"/>
      </w:pPr>
      <w:proofErr w:type="spellStart"/>
      <w:r w:rsidRPr="001A412A">
        <w:t>Semaglutide</w:t>
      </w:r>
      <w:proofErr w:type="spellEnd"/>
      <w:r>
        <w:t xml:space="preserve">: </w:t>
      </w:r>
      <w:r w:rsidRPr="001A412A">
        <w:t xml:space="preserve">dose-dependent resolution NASH 5% body </w:t>
      </w:r>
      <w:proofErr w:type="spellStart"/>
      <w:r w:rsidRPr="001A412A">
        <w:t>wt</w:t>
      </w:r>
      <w:proofErr w:type="spellEnd"/>
      <w:r w:rsidRPr="001A412A">
        <w:t xml:space="preserve"> loss. Not sustained (improvement in placebo)</w:t>
      </w:r>
    </w:p>
    <w:p w14:paraId="778A3418" w14:textId="5695FD30" w:rsidR="001A412A" w:rsidRDefault="001A412A" w:rsidP="001A412A">
      <w:pPr>
        <w:pStyle w:val="ListParagraph"/>
        <w:numPr>
          <w:ilvl w:val="0"/>
          <w:numId w:val="2"/>
        </w:numPr>
        <w:ind w:left="426"/>
      </w:pPr>
      <w:r>
        <w:t>Pioglitazone: Improvement in liver histology, resolution NASH (58%), prevention fibrosis in trials</w:t>
      </w:r>
    </w:p>
    <w:p w14:paraId="2986C185" w14:textId="4B13FC69" w:rsidR="001A412A" w:rsidRDefault="001A412A" w:rsidP="001A412A">
      <w:pPr>
        <w:pStyle w:val="ListParagraph"/>
        <w:numPr>
          <w:ilvl w:val="0"/>
          <w:numId w:val="2"/>
        </w:numPr>
        <w:ind w:left="426"/>
      </w:pPr>
      <w:r>
        <w:t>Combination pioglitazone/exenatide/metformin: 3yr study - EDICT n=68- Steatosis, fibrosis significantly reduced</w:t>
      </w:r>
    </w:p>
    <w:p w14:paraId="3F736637" w14:textId="35DA02EF" w:rsidR="001A412A" w:rsidRDefault="001A412A" w:rsidP="001A412A">
      <w:pPr>
        <w:rPr>
          <w:b/>
          <w:bCs/>
        </w:rPr>
      </w:pPr>
      <w:r>
        <w:rPr>
          <w:b/>
          <w:bCs/>
        </w:rPr>
        <w:t>Phaeochromocytoma</w:t>
      </w:r>
    </w:p>
    <w:p w14:paraId="2846A0CC" w14:textId="77777777" w:rsidR="00BE0D5B" w:rsidRDefault="00BE0D5B" w:rsidP="00BE0D5B">
      <w:pPr>
        <w:pStyle w:val="ListParagraph"/>
        <w:numPr>
          <w:ilvl w:val="0"/>
          <w:numId w:val="2"/>
        </w:numPr>
        <w:ind w:left="426"/>
      </w:pPr>
      <w:r>
        <w:t>Metanephrines, 3MT best, catecholamines obsolete</w:t>
      </w:r>
    </w:p>
    <w:p w14:paraId="6DBE6A8D" w14:textId="19AE950C" w:rsidR="001A412A" w:rsidRDefault="00BE0D5B" w:rsidP="00BE0D5B">
      <w:pPr>
        <w:pStyle w:val="ListParagraph"/>
        <w:numPr>
          <w:ilvl w:val="0"/>
          <w:numId w:val="2"/>
        </w:numPr>
        <w:ind w:left="426"/>
      </w:pPr>
      <w:r>
        <w:t xml:space="preserve">Plasma vs urine: </w:t>
      </w:r>
      <w:r w:rsidRPr="00BE0D5B">
        <w:t>Sensitivity slightly better for plasma, specificity similar</w:t>
      </w:r>
    </w:p>
    <w:p w14:paraId="51812AD7" w14:textId="22C4EB14" w:rsidR="00BE0D5B" w:rsidRDefault="00BE0D5B" w:rsidP="00BE0D5B">
      <w:pPr>
        <w:pStyle w:val="ListParagraph"/>
        <w:numPr>
          <w:ilvl w:val="0"/>
          <w:numId w:val="2"/>
        </w:numPr>
        <w:ind w:left="426"/>
      </w:pPr>
      <w:r w:rsidRPr="00BE0D5B">
        <w:t>All potentially metastatic - usually years after successful resection - can recur after 25-30y</w:t>
      </w:r>
      <w:r>
        <w:t>. Not “benign”</w:t>
      </w:r>
    </w:p>
    <w:p w14:paraId="49CE7BE4" w14:textId="767C2D18" w:rsidR="00BE0D5B" w:rsidRDefault="00BE0D5B" w:rsidP="00BE0D5B">
      <w:pPr>
        <w:pStyle w:val="ListParagraph"/>
        <w:numPr>
          <w:ilvl w:val="0"/>
          <w:numId w:val="2"/>
        </w:numPr>
        <w:ind w:left="426"/>
      </w:pPr>
      <w:r>
        <w:t>Adrenaline</w:t>
      </w:r>
      <w:r w:rsidRPr="00BE0D5B">
        <w:t xml:space="preserve"> - episodically released - alpha 1 beta 1, 2</w:t>
      </w:r>
    </w:p>
    <w:p w14:paraId="2C7773F7" w14:textId="61E267E3" w:rsidR="00BE0D5B" w:rsidRDefault="00BE0D5B" w:rsidP="00BE0D5B">
      <w:pPr>
        <w:pStyle w:val="ListParagraph"/>
        <w:numPr>
          <w:ilvl w:val="0"/>
          <w:numId w:val="2"/>
        </w:numPr>
        <w:ind w:left="426"/>
      </w:pPr>
      <w:r>
        <w:t>Noradrenaline - continuously released, high affinity alpha 1, beta 1, a1 vasoconstriction, hypertension</w:t>
      </w:r>
    </w:p>
    <w:p w14:paraId="4C1D0D46" w14:textId="5125AD58" w:rsidR="00BE0D5B" w:rsidRDefault="00BE0D5B" w:rsidP="00BE0D5B">
      <w:pPr>
        <w:pStyle w:val="ListParagraph"/>
        <w:numPr>
          <w:ilvl w:val="0"/>
          <w:numId w:val="2"/>
        </w:numPr>
        <w:ind w:left="426"/>
      </w:pPr>
      <w:r>
        <w:t>Does not present as hypertension alone. Don’t investigate if no symptoms/signs</w:t>
      </w:r>
    </w:p>
    <w:p w14:paraId="6E4A2E14" w14:textId="6D865A6D" w:rsidR="00BE0D5B" w:rsidRDefault="00BE0D5B" w:rsidP="00BE0D5B">
      <w:pPr>
        <w:pStyle w:val="ListParagraph"/>
        <w:numPr>
          <w:ilvl w:val="0"/>
          <w:numId w:val="2"/>
        </w:numPr>
        <w:ind w:left="426"/>
      </w:pPr>
      <w:r w:rsidRPr="00BE0D5B">
        <w:t>Optimal adrenoreceptor blocker should be given 7-14d prior to surgery</w:t>
      </w:r>
      <w:r>
        <w:t>; high Na+ diet to prevent hypotension</w:t>
      </w:r>
    </w:p>
    <w:p w14:paraId="214F589A" w14:textId="5CDE1470" w:rsidR="00BE0D5B" w:rsidRDefault="00BE0D5B" w:rsidP="00BE0D5B">
      <w:pPr>
        <w:pStyle w:val="ListParagraph"/>
        <w:numPr>
          <w:ilvl w:val="0"/>
          <w:numId w:val="2"/>
        </w:numPr>
        <w:ind w:left="426"/>
      </w:pPr>
      <w:r>
        <w:t>Phenoxybenzamine worsens tachycardia</w:t>
      </w:r>
    </w:p>
    <w:p w14:paraId="2654B7BE" w14:textId="72AF0FD7" w:rsidR="00BE0D5B" w:rsidRDefault="00BE0D5B" w:rsidP="00BE0D5B">
      <w:pPr>
        <w:pStyle w:val="ListParagraph"/>
        <w:numPr>
          <w:ilvl w:val="0"/>
          <w:numId w:val="2"/>
        </w:numPr>
        <w:ind w:left="426"/>
      </w:pPr>
      <w:r w:rsidRPr="00BE0D5B">
        <w:lastRenderedPageBreak/>
        <w:t>Ivabradine - useful in catecholamine-induced</w:t>
      </w:r>
      <w:r>
        <w:t xml:space="preserve">. </w:t>
      </w:r>
      <w:r w:rsidRPr="00BE0D5B">
        <w:t>Acts on SA node exclusively</w:t>
      </w:r>
    </w:p>
    <w:p w14:paraId="6032149B" w14:textId="382F7A8D" w:rsidR="00BE0D5B" w:rsidRDefault="00AE125C" w:rsidP="00BE0D5B">
      <w:r>
        <w:rPr>
          <w:b/>
          <w:bCs/>
        </w:rPr>
        <w:t>Aldosterone</w:t>
      </w:r>
    </w:p>
    <w:p w14:paraId="31B493FA" w14:textId="00F9FDEB" w:rsidR="00AE125C" w:rsidRDefault="00AE125C" w:rsidP="00AE125C">
      <w:r>
        <w:t>Types of PA - 60% bilateral PA, 10% asymmetric bilateral hyper-aldo</w:t>
      </w:r>
    </w:p>
    <w:p w14:paraId="2EC104C0" w14:textId="6F6A58B0" w:rsidR="00AE125C" w:rsidRDefault="00AE125C" w:rsidP="00AE125C">
      <w:r w:rsidRPr="00AE125C">
        <w:t>Proposed continuum of adrenal pathology - expansion of al</w:t>
      </w:r>
      <w:r w:rsidR="008934EB">
        <w:t>d</w:t>
      </w:r>
      <w:r w:rsidRPr="00AE125C">
        <w:t xml:space="preserve">o-producing </w:t>
      </w:r>
      <w:proofErr w:type="spellStart"/>
      <w:r w:rsidRPr="00AE125C">
        <w:t>micronodules</w:t>
      </w:r>
      <w:proofErr w:type="spellEnd"/>
    </w:p>
    <w:p w14:paraId="5DD94CC0" w14:textId="7462427B" w:rsidR="008934EB" w:rsidRDefault="008934EB" w:rsidP="00AE125C">
      <w:r>
        <w:rPr>
          <w:b/>
        </w:rPr>
        <w:t>Low-risk thyroid cancer</w:t>
      </w:r>
    </w:p>
    <w:p w14:paraId="789D55A0" w14:textId="3B8DF005" w:rsidR="008934EB" w:rsidRDefault="008934EB" w:rsidP="00AE125C">
      <w:r>
        <w:t>Thyroglobulin:</w:t>
      </w:r>
    </w:p>
    <w:p w14:paraId="46EADF86" w14:textId="29688B04" w:rsidR="008934EB" w:rsidRDefault="008934EB" w:rsidP="00AE125C">
      <w:r>
        <w:tab/>
        <w:t>&lt;0.2 ng/ml – excellent prognosis</w:t>
      </w:r>
    </w:p>
    <w:p w14:paraId="028AFF15" w14:textId="5F96DEA1" w:rsidR="008934EB" w:rsidRDefault="008934EB" w:rsidP="00AE125C">
      <w:r>
        <w:tab/>
        <w:t>&lt;1 – indeterminate</w:t>
      </w:r>
    </w:p>
    <w:p w14:paraId="545F5451" w14:textId="33A59711" w:rsidR="008934EB" w:rsidRDefault="008934EB" w:rsidP="00AE125C">
      <w:r>
        <w:tab/>
        <w:t>&gt;1 – incomplete biochemical response</w:t>
      </w:r>
    </w:p>
    <w:p w14:paraId="72A14056" w14:textId="18F2D413" w:rsidR="008934EB" w:rsidRDefault="008934EB" w:rsidP="00AE125C">
      <w:r>
        <w:tab/>
        <w:t>Can measure with mass spec if necessary</w:t>
      </w:r>
    </w:p>
    <w:p w14:paraId="51D9CC29" w14:textId="62E3CFA4" w:rsidR="009A6B02" w:rsidRDefault="009A6B02" w:rsidP="00AE125C">
      <w:r>
        <w:t>Ultrasound</w:t>
      </w:r>
    </w:p>
    <w:p w14:paraId="2B7A3436" w14:textId="4BB3991F" w:rsidR="009A6B02" w:rsidRDefault="009A6B02" w:rsidP="00AE125C">
      <w:r>
        <w:tab/>
        <w:t>False positive 67%</w:t>
      </w:r>
    </w:p>
    <w:p w14:paraId="58A1A13D" w14:textId="179C941D" w:rsidR="009A6B02" w:rsidRDefault="009A6B02" w:rsidP="00AE125C">
      <w:r>
        <w:tab/>
        <w:t>Right level 4, 3, 2 recurrence sites</w:t>
      </w:r>
    </w:p>
    <w:p w14:paraId="372167EC" w14:textId="7E93FA26" w:rsidR="009A6B02" w:rsidRDefault="009A6B02" w:rsidP="00AE125C">
      <w:r>
        <w:tab/>
        <w:t>Annual – standard advice</w:t>
      </w:r>
    </w:p>
    <w:p w14:paraId="0DF07ACB" w14:textId="4964DBAA" w:rsidR="009A6B02" w:rsidRDefault="009A6B02" w:rsidP="00AE125C">
      <w:r>
        <w:t>When to end follow-up (survey of practice)</w:t>
      </w:r>
    </w:p>
    <w:p w14:paraId="5DA3824E" w14:textId="0FBF10A1" w:rsidR="009A6B02" w:rsidRDefault="009A6B02" w:rsidP="00AE125C">
      <w:r>
        <w:tab/>
        <w:t>Majority &gt;20y – often 6-10y</w:t>
      </w:r>
    </w:p>
    <w:p w14:paraId="79DF8A06" w14:textId="21526F80" w:rsidR="009A6B02" w:rsidRDefault="009A6B02" w:rsidP="00AE125C">
      <w:r>
        <w:tab/>
        <w:t>Reduce frequency of US at 5y</w:t>
      </w:r>
    </w:p>
    <w:p w14:paraId="3D4BD5B6" w14:textId="2B0ECC2F" w:rsidR="009A6B02" w:rsidRDefault="009A6B02" w:rsidP="00AE125C">
      <w:r>
        <w:tab/>
        <w:t>Low risk, no recurrence – 6/12 -&gt; 1y, 5y before discharge</w:t>
      </w:r>
    </w:p>
    <w:p w14:paraId="43E45E9F" w14:textId="6727E69E" w:rsidR="009A6B02" w:rsidRDefault="009A6B02" w:rsidP="00AE125C">
      <w:r>
        <w:t>TSH suppression</w:t>
      </w:r>
    </w:p>
    <w:p w14:paraId="5EA47BA2" w14:textId="6051701A" w:rsidR="009A6B02" w:rsidRDefault="009A6B02" w:rsidP="00AE125C">
      <w:r>
        <w:tab/>
        <w:t>Useful if high risk</w:t>
      </w:r>
    </w:p>
    <w:p w14:paraId="72A5DE63" w14:textId="7F9482F4" w:rsidR="009A6B02" w:rsidRDefault="009A6B02" w:rsidP="00AE125C">
      <w:r>
        <w:tab/>
        <w:t>Target lower end of range (</w:t>
      </w:r>
      <w:proofErr w:type="spellStart"/>
      <w:r>
        <w:t>eg</w:t>
      </w:r>
      <w:proofErr w:type="spellEnd"/>
      <w:r>
        <w:t>. 2)</w:t>
      </w:r>
    </w:p>
    <w:p w14:paraId="4101DD53" w14:textId="24A6F7B4" w:rsidR="009A6B02" w:rsidRDefault="009A6B02" w:rsidP="00AE125C">
      <w:r>
        <w:tab/>
        <w:t>Benefit less certain for low risk patients</w:t>
      </w:r>
    </w:p>
    <w:p w14:paraId="34797F3F" w14:textId="1F02E812" w:rsidR="009A6B02" w:rsidRDefault="009A6B02" w:rsidP="00AE125C">
      <w:r>
        <w:rPr>
          <w:b/>
        </w:rPr>
        <w:t>TRAVERSE Trial – testosterone supplementation</w:t>
      </w:r>
    </w:p>
    <w:p w14:paraId="4D8DB056" w14:textId="170DF4A1" w:rsidR="009A6B02" w:rsidRDefault="009A6B02" w:rsidP="00AE125C">
      <w:r>
        <w:t>Subjects: 45-80y, &gt;= 1 symptoms hypogonadism, CVD or &gt;= risk factors</w:t>
      </w:r>
    </w:p>
    <w:p w14:paraId="4FB2BD1D" w14:textId="61FD1067" w:rsidR="009A6B02" w:rsidRDefault="009A6B02" w:rsidP="00AE125C">
      <w:r>
        <w:t>316 sites</w:t>
      </w:r>
    </w:p>
    <w:p w14:paraId="0D6E77F8" w14:textId="5BA38B6C" w:rsidR="009A6B02" w:rsidRDefault="009A6B02" w:rsidP="00AE125C">
      <w:r>
        <w:t xml:space="preserve">Dose titrated to 12-16, </w:t>
      </w:r>
      <w:proofErr w:type="spellStart"/>
      <w:r>
        <w:t>Hct</w:t>
      </w:r>
      <w:proofErr w:type="spellEnd"/>
      <w:r>
        <w:t xml:space="preserve"> &lt;= 0.54</w:t>
      </w:r>
    </w:p>
    <w:p w14:paraId="2C28A05A" w14:textId="0F980F21" w:rsidR="009A6B02" w:rsidRDefault="009A6B02" w:rsidP="00AE125C">
      <w:r>
        <w:t>CVD: HR 0.96 – satisfied non-inferiority</w:t>
      </w:r>
    </w:p>
    <w:p w14:paraId="0679F426" w14:textId="768359DC" w:rsidR="009A6B02" w:rsidRDefault="009A6B02" w:rsidP="00AE125C">
      <w:r>
        <w:t>Prostate: no difference</w:t>
      </w:r>
      <w:r w:rsidR="001E6890">
        <w:t>:</w:t>
      </w:r>
      <w:r>
        <w:t xml:space="preserve"> high-grade or any Ca</w:t>
      </w:r>
      <w:r w:rsidR="001E6890">
        <w:t>, BPH intervention, retention, LUT symptoms</w:t>
      </w:r>
    </w:p>
    <w:p w14:paraId="281B378C" w14:textId="7704CF44" w:rsidR="001E6890" w:rsidRDefault="001E6890" w:rsidP="00AE125C">
      <w:r>
        <w:t xml:space="preserve">Anaemia – greater </w:t>
      </w:r>
      <w:bookmarkStart w:id="0" w:name="_GoBack"/>
      <w:bookmarkEnd w:id="0"/>
      <w:r>
        <w:t>correction in T group compared to placebo</w:t>
      </w:r>
    </w:p>
    <w:p w14:paraId="2B84369D" w14:textId="77777777" w:rsidR="001E6890" w:rsidRDefault="001E6890" w:rsidP="00AE125C">
      <w:r>
        <w:t>Glycaemia – no difference</w:t>
      </w:r>
    </w:p>
    <w:p w14:paraId="2A9B6DF2" w14:textId="5E888AD7" w:rsidR="001E6890" w:rsidRDefault="001E6890" w:rsidP="00AE125C">
      <w:proofErr w:type="spellStart"/>
      <w:r>
        <w:t>Hypogonadal</w:t>
      </w:r>
      <w:proofErr w:type="spellEnd"/>
      <w:r>
        <w:t xml:space="preserve"> symptoms – improved</w:t>
      </w:r>
    </w:p>
    <w:p w14:paraId="6AC551E9" w14:textId="5A4721F9" w:rsidR="001E6890" w:rsidRPr="009A6B02" w:rsidRDefault="001E6890" w:rsidP="00AE125C">
      <w:r>
        <w:lastRenderedPageBreak/>
        <w:t>Fracture – increased. Unexpected outcome. Most associated with trauma. No difference atraumatic</w:t>
      </w:r>
    </w:p>
    <w:sectPr w:rsidR="001E6890" w:rsidRPr="009A6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703"/>
    <w:multiLevelType w:val="multilevel"/>
    <w:tmpl w:val="1172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70C68"/>
    <w:multiLevelType w:val="hybridMultilevel"/>
    <w:tmpl w:val="74D46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2B0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0D"/>
    <w:rsid w:val="001A412A"/>
    <w:rsid w:val="001E6890"/>
    <w:rsid w:val="008934EB"/>
    <w:rsid w:val="009A6B02"/>
    <w:rsid w:val="00AE125C"/>
    <w:rsid w:val="00BE0D5B"/>
    <w:rsid w:val="00C53EBF"/>
    <w:rsid w:val="00F1670D"/>
    <w:rsid w:val="00F23483"/>
    <w:rsid w:val="00F537BE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10D3"/>
  <w15:chartTrackingRefBased/>
  <w15:docId w15:val="{3101B555-7A31-4E02-9136-FA59C8EC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Schmidli</dc:creator>
  <cp:keywords/>
  <dc:description/>
  <cp:lastModifiedBy>Robert Schmidli</cp:lastModifiedBy>
  <cp:revision>5</cp:revision>
  <dcterms:created xsi:type="dcterms:W3CDTF">2023-06-19T05:21:00Z</dcterms:created>
  <dcterms:modified xsi:type="dcterms:W3CDTF">2023-08-28T07:32:00Z</dcterms:modified>
</cp:coreProperties>
</file>